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71" w:rsidRPr="00E60280" w:rsidRDefault="00E60280">
      <w:pPr>
        <w:rPr>
          <w:b/>
        </w:rPr>
      </w:pPr>
      <w:r w:rsidRPr="00E60280">
        <w:rPr>
          <w:b/>
        </w:rPr>
        <w:t>Analiza ankete o obisku govorilnih ur na OŠ heroja Janeza Hribarja Stari trg pri Ložu</w:t>
      </w:r>
    </w:p>
    <w:p w:rsidR="00E60280" w:rsidRDefault="00E60280">
      <w:r>
        <w:t>Zaposleni na OŠ heroja Janeza Hribarja ocenjujemo, da je reden stik in dobro sodelovanje učiteljev s starši ključnega pomena pri razreševanju morebitnih otrokovih težav, ki se pojavljajo v šoli. V ta namen smo konec šolskega leta 2017/18 pripravili anketo, s katero smo želeli analizirati obisk staršev na govorilnih urah ter pridobiti mnenja, ideje staršev, kako bi lahko govorilne ure še izboljšali.</w:t>
      </w:r>
    </w:p>
    <w:p w:rsidR="00E60280" w:rsidRDefault="00E60280">
      <w:r>
        <w:t>Anketa je vsebovala 4 vprašanja, na katera so starši odgovarjali tako, da so izbrali enega ali več odgovorov, ki veljajo za njih. Na koncu pa so lahko podali še svoja mnenja, ideje in predloge glede govorilnih ur.</w:t>
      </w:r>
    </w:p>
    <w:p w:rsidR="00E60280" w:rsidRDefault="00E60280">
      <w:r>
        <w:t>Anketo je izpolnilo 243 staršev od 344 razdeljenih anket, kar znaša približno 71%.</w:t>
      </w:r>
    </w:p>
    <w:p w:rsidR="00E60280" w:rsidRPr="00266FC8" w:rsidRDefault="00E60280">
      <w:pPr>
        <w:rPr>
          <w:u w:val="single"/>
        </w:rPr>
      </w:pPr>
      <w:r>
        <w:t xml:space="preserve">Prvo vprašanje se je glasilo: </w:t>
      </w:r>
      <w:r w:rsidRPr="00266FC8">
        <w:rPr>
          <w:u w:val="single"/>
        </w:rPr>
        <w:t>kolikokrat ste se v šolskem letu 2017-18 udeležili govorilnih ur za svojega otroka?</w:t>
      </w:r>
    </w:p>
    <w:p w:rsidR="00E60280" w:rsidRDefault="00E60280">
      <w:r w:rsidRPr="00E60280">
        <w:rPr>
          <w:noProof/>
          <w:lang w:eastAsia="sl-SI"/>
        </w:rPr>
        <w:drawing>
          <wp:inline distT="0" distB="0" distL="0" distR="0" wp14:anchorId="605E0D3C" wp14:editId="35827E57">
            <wp:extent cx="4617720" cy="2688590"/>
            <wp:effectExtent l="0" t="0" r="11430" b="1651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E60280" w:rsidRDefault="00266FC8" w:rsidP="00266FC8">
      <w:pPr>
        <w:rPr>
          <w:i/>
        </w:rPr>
      </w:pPr>
      <w:r>
        <w:t xml:space="preserve">Slika 1. </w:t>
      </w:r>
      <w:r w:rsidRPr="00266FC8">
        <w:rPr>
          <w:i/>
        </w:rPr>
        <w:t>Odstotek udeležbe staršev na govorilnih urah v šolskem letu 2017-18</w:t>
      </w:r>
    </w:p>
    <w:p w:rsidR="00266FC8" w:rsidRDefault="00266FC8" w:rsidP="00266FC8">
      <w:r>
        <w:t>Razberemo lahko, da se skoraj polovica sodelujočih staršev govorilnih ur udeleži skorajda vsak mesec, le 12% staršev pa enkrat do dvakrat na leto.</w:t>
      </w:r>
    </w:p>
    <w:p w:rsidR="00266FC8" w:rsidRDefault="00266FC8" w:rsidP="00266FC8">
      <w:pPr>
        <w:pStyle w:val="Navadensplet"/>
        <w:spacing w:before="0" w:beforeAutospacing="0" w:after="0" w:afterAutospacing="0"/>
        <w:rPr>
          <w:rFonts w:asciiTheme="minorHAnsi" w:eastAsiaTheme="minorEastAsia" w:hAnsiTheme="minorHAnsi" w:cstheme="minorHAnsi"/>
          <w:color w:val="000000" w:themeColor="text1"/>
          <w:kern w:val="24"/>
          <w:sz w:val="22"/>
          <w:szCs w:val="22"/>
          <w:u w:val="single"/>
        </w:rPr>
      </w:pPr>
      <w:r w:rsidRPr="00266FC8">
        <w:rPr>
          <w:rFonts w:asciiTheme="minorHAnsi" w:hAnsiTheme="minorHAnsi" w:cstheme="minorHAnsi"/>
          <w:sz w:val="22"/>
          <w:szCs w:val="22"/>
        </w:rPr>
        <w:t xml:space="preserve">V drugem vprašanju </w:t>
      </w:r>
      <w:r>
        <w:rPr>
          <w:rFonts w:asciiTheme="minorHAnsi" w:hAnsiTheme="minorHAnsi" w:cstheme="minorHAnsi"/>
          <w:sz w:val="22"/>
          <w:szCs w:val="22"/>
        </w:rPr>
        <w:t>so nas zanimali</w:t>
      </w:r>
      <w:r w:rsidRPr="00266FC8">
        <w:rPr>
          <w:rFonts w:asciiTheme="minorHAnsi" w:hAnsiTheme="minorHAnsi" w:cstheme="minorHAnsi"/>
          <w:sz w:val="22"/>
          <w:szCs w:val="22"/>
        </w:rPr>
        <w:t xml:space="preserve"> </w:t>
      </w:r>
      <w:r>
        <w:rPr>
          <w:rFonts w:asciiTheme="minorHAnsi" w:eastAsiaTheme="minorEastAsia" w:hAnsiTheme="minorHAnsi" w:cstheme="minorHAnsi"/>
          <w:bCs/>
          <w:color w:val="000000" w:themeColor="text1"/>
          <w:kern w:val="24"/>
          <w:sz w:val="22"/>
          <w:szCs w:val="22"/>
          <w:u w:val="single"/>
        </w:rPr>
        <w:t>ključni razlogi</w:t>
      </w:r>
      <w:r w:rsidRPr="00266FC8">
        <w:rPr>
          <w:rFonts w:asciiTheme="minorHAnsi" w:eastAsiaTheme="minorEastAsia" w:hAnsiTheme="minorHAnsi" w:cstheme="minorHAnsi"/>
          <w:bCs/>
          <w:color w:val="000000" w:themeColor="text1"/>
          <w:kern w:val="24"/>
          <w:sz w:val="22"/>
          <w:szCs w:val="22"/>
          <w:u w:val="single"/>
        </w:rPr>
        <w:t xml:space="preserve"> za obisk govorilnih ur </w:t>
      </w:r>
      <w:r w:rsidRPr="00266FC8">
        <w:rPr>
          <w:rFonts w:asciiTheme="minorHAnsi" w:eastAsiaTheme="minorEastAsia" w:hAnsiTheme="minorHAnsi" w:cstheme="minorHAnsi"/>
          <w:color w:val="000000" w:themeColor="text1"/>
          <w:kern w:val="24"/>
          <w:sz w:val="22"/>
          <w:szCs w:val="22"/>
          <w:u w:val="single"/>
        </w:rPr>
        <w:t>(</w:t>
      </w:r>
      <w:r>
        <w:rPr>
          <w:rFonts w:asciiTheme="minorHAnsi" w:eastAsiaTheme="minorEastAsia" w:hAnsiTheme="minorHAnsi" w:cstheme="minorHAnsi"/>
          <w:color w:val="000000" w:themeColor="text1"/>
          <w:kern w:val="24"/>
          <w:sz w:val="22"/>
          <w:szCs w:val="22"/>
          <w:u w:val="single"/>
        </w:rPr>
        <w:t>možnih</w:t>
      </w:r>
      <w:r w:rsidRPr="00266FC8">
        <w:rPr>
          <w:rFonts w:asciiTheme="minorHAnsi" w:eastAsiaTheme="minorEastAsia" w:hAnsiTheme="minorHAnsi" w:cstheme="minorHAnsi"/>
          <w:color w:val="000000" w:themeColor="text1"/>
          <w:kern w:val="24"/>
          <w:sz w:val="22"/>
          <w:szCs w:val="22"/>
          <w:u w:val="single"/>
        </w:rPr>
        <w:t xml:space="preserve"> več odgovorov)</w:t>
      </w:r>
      <w:r>
        <w:rPr>
          <w:rFonts w:asciiTheme="minorHAnsi" w:eastAsiaTheme="minorEastAsia" w:hAnsiTheme="minorHAnsi" w:cstheme="minorHAnsi"/>
          <w:color w:val="000000" w:themeColor="text1"/>
          <w:kern w:val="24"/>
          <w:sz w:val="22"/>
          <w:szCs w:val="22"/>
          <w:u w:val="single"/>
        </w:rPr>
        <w:t>.</w:t>
      </w:r>
    </w:p>
    <w:p w:rsidR="00266FC8" w:rsidRDefault="00266FC8" w:rsidP="00266FC8">
      <w:pPr>
        <w:pStyle w:val="Navadensplet"/>
        <w:spacing w:before="0" w:beforeAutospacing="0" w:after="0" w:afterAutospacing="0"/>
        <w:rPr>
          <w:rFonts w:asciiTheme="minorHAnsi" w:eastAsiaTheme="minorEastAsia" w:hAnsiTheme="minorHAnsi" w:cstheme="minorHAnsi"/>
          <w:color w:val="000000" w:themeColor="text1"/>
          <w:kern w:val="24"/>
          <w:sz w:val="22"/>
          <w:szCs w:val="22"/>
          <w:u w:val="single"/>
        </w:rPr>
      </w:pPr>
    </w:p>
    <w:p w:rsidR="00266FC8" w:rsidRPr="00266FC8" w:rsidRDefault="00266FC8" w:rsidP="00266FC8">
      <w:pPr>
        <w:pStyle w:val="Navadensplet"/>
        <w:spacing w:before="0" w:beforeAutospacing="0" w:after="0" w:afterAutospacing="0"/>
        <w:rPr>
          <w:rFonts w:asciiTheme="minorHAnsi" w:hAnsiTheme="minorHAnsi" w:cstheme="minorHAnsi"/>
          <w:sz w:val="22"/>
          <w:szCs w:val="22"/>
          <w:u w:val="single"/>
        </w:rPr>
      </w:pPr>
      <w:r w:rsidRPr="00266FC8">
        <w:rPr>
          <w:rFonts w:asciiTheme="minorHAnsi" w:hAnsiTheme="minorHAnsi" w:cstheme="minorHAnsi"/>
          <w:noProof/>
          <w:sz w:val="22"/>
          <w:szCs w:val="22"/>
          <w:u w:val="single"/>
        </w:rPr>
        <w:lastRenderedPageBreak/>
        <w:drawing>
          <wp:inline distT="0" distB="0" distL="0" distR="0" wp14:anchorId="5220B81D" wp14:editId="451AC30B">
            <wp:extent cx="6105525" cy="3724275"/>
            <wp:effectExtent l="0" t="0" r="9525" b="952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66FC8" w:rsidRDefault="00266FC8" w:rsidP="00266FC8">
      <w:pPr>
        <w:rPr>
          <w:rFonts w:cstheme="minorHAnsi"/>
        </w:rPr>
      </w:pPr>
      <w:r w:rsidRPr="00266FC8">
        <w:rPr>
          <w:rFonts w:cstheme="minorHAnsi"/>
        </w:rPr>
        <w:t xml:space="preserve">Slika 2. </w:t>
      </w:r>
      <w:r w:rsidRPr="00266FC8">
        <w:rPr>
          <w:rFonts w:cstheme="minorHAnsi"/>
          <w:i/>
        </w:rPr>
        <w:t xml:space="preserve">Ključni razlogi </w:t>
      </w:r>
      <w:r w:rsidR="006E1736">
        <w:rPr>
          <w:rFonts w:cstheme="minorHAnsi"/>
          <w:i/>
        </w:rPr>
        <w:t xml:space="preserve">staršev </w:t>
      </w:r>
      <w:r w:rsidRPr="00266FC8">
        <w:rPr>
          <w:rFonts w:cstheme="minorHAnsi"/>
          <w:i/>
        </w:rPr>
        <w:t>za obisk govorilnih ur.</w:t>
      </w:r>
    </w:p>
    <w:p w:rsidR="00266FC8" w:rsidRDefault="00266FC8" w:rsidP="00266FC8">
      <w:pPr>
        <w:rPr>
          <w:rFonts w:cstheme="minorHAnsi"/>
        </w:rPr>
      </w:pPr>
      <w:r>
        <w:rPr>
          <w:rFonts w:cstheme="minorHAnsi"/>
        </w:rPr>
        <w:t>Razberemo lahko, da si starši želijo predvsem sprotnih informacij o otrokovem delu. Kot druge razloge pa so navajali še, da jih zanima socialno vključevanje otroka, odnos do učiteljev in sošolcev</w:t>
      </w:r>
      <w:r w:rsidR="0034012C">
        <w:rPr>
          <w:rFonts w:cstheme="minorHAnsi"/>
        </w:rPr>
        <w:t>, standardi znanja in iskanje skupnih rešitev za izboljšanje učne uspešnosti.</w:t>
      </w:r>
    </w:p>
    <w:p w:rsidR="0034012C" w:rsidRDefault="0034012C" w:rsidP="00266FC8">
      <w:pPr>
        <w:rPr>
          <w:rFonts w:cstheme="minorHAnsi"/>
        </w:rPr>
      </w:pPr>
      <w:r>
        <w:rPr>
          <w:rFonts w:cstheme="minorHAnsi"/>
        </w:rPr>
        <w:t xml:space="preserve">S tretjim vprašanjem smo starše spraševali po </w:t>
      </w:r>
      <w:r w:rsidRPr="0034012C">
        <w:rPr>
          <w:rFonts w:cstheme="minorHAnsi"/>
          <w:u w:val="single"/>
        </w:rPr>
        <w:t>glavnih razlogih, kadar se govorilnih ur ne uspejo udeležiti</w:t>
      </w:r>
      <w:r>
        <w:rPr>
          <w:rFonts w:cstheme="minorHAnsi"/>
        </w:rPr>
        <w:t xml:space="preserve"> (možnih več odgovorov)</w:t>
      </w:r>
    </w:p>
    <w:p w:rsidR="0034012C" w:rsidRDefault="0034012C" w:rsidP="00266FC8">
      <w:pPr>
        <w:rPr>
          <w:rFonts w:cstheme="minorHAnsi"/>
        </w:rPr>
      </w:pPr>
      <w:r w:rsidRPr="0034012C">
        <w:rPr>
          <w:rFonts w:cstheme="minorHAnsi"/>
          <w:noProof/>
          <w:lang w:eastAsia="sl-SI"/>
        </w:rPr>
        <w:drawing>
          <wp:inline distT="0" distB="0" distL="0" distR="0" wp14:anchorId="30B9D109" wp14:editId="517DFA98">
            <wp:extent cx="5760720" cy="3475355"/>
            <wp:effectExtent l="0" t="0" r="11430" b="10795"/>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4012C" w:rsidRDefault="0034012C" w:rsidP="00266FC8">
      <w:pPr>
        <w:rPr>
          <w:rFonts w:cstheme="minorHAnsi"/>
          <w:i/>
        </w:rPr>
      </w:pPr>
      <w:r>
        <w:rPr>
          <w:rFonts w:cstheme="minorHAnsi"/>
        </w:rPr>
        <w:lastRenderedPageBreak/>
        <w:t xml:space="preserve">Slika 3. </w:t>
      </w:r>
      <w:r w:rsidRPr="0034012C">
        <w:rPr>
          <w:rFonts w:cstheme="minorHAnsi"/>
          <w:i/>
        </w:rPr>
        <w:t>Glavni razlogi za morebitno neudeležbo na govorilnih urah.</w:t>
      </w:r>
    </w:p>
    <w:p w:rsidR="0034012C" w:rsidRDefault="0034012C" w:rsidP="00266FC8">
      <w:pPr>
        <w:rPr>
          <w:rFonts w:cstheme="minorHAnsi"/>
        </w:rPr>
      </w:pPr>
      <w:r>
        <w:rPr>
          <w:rFonts w:cstheme="minorHAnsi"/>
        </w:rPr>
        <w:t>Glavni razlog za neudeležbo so službene obveznosti. Kot druge razloge pa so starši navajali še delo na kmetiji, bolezen, gneča na cesti, vsakodnevne pogovore z učiteljem …</w:t>
      </w:r>
    </w:p>
    <w:p w:rsidR="0034012C" w:rsidRDefault="0034012C" w:rsidP="00266FC8">
      <w:pPr>
        <w:rPr>
          <w:rFonts w:cstheme="minorHAnsi"/>
        </w:rPr>
      </w:pPr>
      <w:r>
        <w:rPr>
          <w:rFonts w:cstheme="minorHAnsi"/>
        </w:rPr>
        <w:t>S četrtim vprašanjem smo star</w:t>
      </w:r>
      <w:r w:rsidR="007053E5">
        <w:rPr>
          <w:rFonts w:cstheme="minorHAnsi"/>
        </w:rPr>
        <w:t>š</w:t>
      </w:r>
      <w:r>
        <w:rPr>
          <w:rFonts w:cstheme="minorHAnsi"/>
        </w:rPr>
        <w:t xml:space="preserve">e spraševali, </w:t>
      </w:r>
      <w:r w:rsidRPr="0034012C">
        <w:rPr>
          <w:rFonts w:cstheme="minorHAnsi"/>
          <w:u w:val="single"/>
        </w:rPr>
        <w:t>katere učitelje navadno obiščejo v času govorilnih ur.</w:t>
      </w:r>
    </w:p>
    <w:p w:rsidR="0034012C" w:rsidRDefault="0034012C" w:rsidP="00266FC8">
      <w:pPr>
        <w:rPr>
          <w:rFonts w:cstheme="minorHAnsi"/>
        </w:rPr>
      </w:pPr>
      <w:r>
        <w:rPr>
          <w:rFonts w:cstheme="minorHAnsi"/>
        </w:rPr>
        <w:t xml:space="preserve"> </w:t>
      </w:r>
      <w:r w:rsidRPr="0034012C">
        <w:rPr>
          <w:rFonts w:cstheme="minorHAnsi"/>
          <w:noProof/>
          <w:lang w:eastAsia="sl-SI"/>
        </w:rPr>
        <w:drawing>
          <wp:inline distT="0" distB="0" distL="0" distR="0" wp14:anchorId="68085EAA" wp14:editId="036DB64F">
            <wp:extent cx="5760720" cy="3840480"/>
            <wp:effectExtent l="0" t="0" r="11430" b="762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4012C" w:rsidRDefault="0034012C" w:rsidP="00266FC8">
      <w:pPr>
        <w:rPr>
          <w:rFonts w:cstheme="minorHAnsi"/>
          <w:i/>
        </w:rPr>
      </w:pPr>
      <w:r>
        <w:rPr>
          <w:rFonts w:cstheme="minorHAnsi"/>
        </w:rPr>
        <w:t xml:space="preserve">Slika 4. </w:t>
      </w:r>
      <w:r w:rsidRPr="0034012C">
        <w:rPr>
          <w:rFonts w:cstheme="minorHAnsi"/>
          <w:i/>
        </w:rPr>
        <w:t>Obisk učiteljev na govorilnih urah.</w:t>
      </w:r>
    </w:p>
    <w:p w:rsidR="0034012C" w:rsidRDefault="0034012C" w:rsidP="00266FC8">
      <w:pPr>
        <w:rPr>
          <w:rFonts w:cstheme="minorHAnsi"/>
        </w:rPr>
      </w:pPr>
      <w:r>
        <w:rPr>
          <w:rFonts w:cstheme="minorHAnsi"/>
        </w:rPr>
        <w:t>Pod točko drugo so starši navajali še obisk specialnega in rehabilitacijskega pedagoga. Nekateri starši pa obiščejo vse učitelje ne glede na to ali ima otrok v šoli težave ali ne.</w:t>
      </w:r>
    </w:p>
    <w:p w:rsidR="007444FE" w:rsidRDefault="0034012C" w:rsidP="00266FC8">
      <w:pPr>
        <w:rPr>
          <w:rFonts w:cstheme="minorHAnsi"/>
        </w:rPr>
      </w:pPr>
      <w:r>
        <w:rPr>
          <w:rFonts w:cstheme="minorHAnsi"/>
        </w:rPr>
        <w:t xml:space="preserve">Veliko staršev je napisalo, da so z govorilnimi urami zadovoljni, da izvedo vse potrebne informacije. </w:t>
      </w:r>
      <w:r w:rsidR="007444FE">
        <w:rPr>
          <w:rFonts w:cstheme="minorHAnsi"/>
        </w:rPr>
        <w:t>Moti pa jih</w:t>
      </w:r>
      <w:r>
        <w:rPr>
          <w:rFonts w:cstheme="minorHAnsi"/>
        </w:rPr>
        <w:t xml:space="preserve">, ker se nekateri starši občasno na govorilnih urah </w:t>
      </w:r>
      <w:r w:rsidR="007444FE">
        <w:rPr>
          <w:rFonts w:cstheme="minorHAnsi"/>
        </w:rPr>
        <w:t>predolgo zadržijo pri posameznem učitelju. Želijo si tudi več informacij o otrokovem razvoju, ne le o učnem uspehu.</w:t>
      </w:r>
    </w:p>
    <w:p w:rsidR="0034012C" w:rsidRDefault="007444FE" w:rsidP="00266FC8">
      <w:pPr>
        <w:rPr>
          <w:rFonts w:cstheme="minorHAnsi"/>
        </w:rPr>
      </w:pPr>
      <w:r>
        <w:rPr>
          <w:rFonts w:cstheme="minorHAnsi"/>
        </w:rPr>
        <w:t>Strokovni delavci si</w:t>
      </w:r>
      <w:r w:rsidR="0034012C">
        <w:rPr>
          <w:rFonts w:cstheme="minorHAnsi"/>
        </w:rPr>
        <w:t xml:space="preserve"> </w:t>
      </w:r>
      <w:r>
        <w:rPr>
          <w:rFonts w:cstheme="minorHAnsi"/>
        </w:rPr>
        <w:t>želimo dobrega sodelovanja s starši in sprotnega razreševanja težav ter vzajemnih povratnih informacij o otrokovem delu in funkcioniranju. Upamo, da bomo tudi v prihodnjih letih s starši čim bolje sodelovali, nudili podporo drug drugemu in vzajemno ter odgovorno skrbeli za optimalen razvoj otrok na vseh področjih. Potrudili se bomo, da bomo staršem na gov</w:t>
      </w:r>
      <w:r w:rsidR="006E1736">
        <w:rPr>
          <w:rFonts w:cstheme="minorHAnsi"/>
        </w:rPr>
        <w:t>orilnih urah podali vse potrebne</w:t>
      </w:r>
      <w:r>
        <w:rPr>
          <w:rFonts w:cstheme="minorHAnsi"/>
        </w:rPr>
        <w:t xml:space="preserve"> informacije o </w:t>
      </w:r>
      <w:r w:rsidR="006E1736">
        <w:rPr>
          <w:rFonts w:cstheme="minorHAnsi"/>
        </w:rPr>
        <w:t xml:space="preserve">šolskem delu njihovega </w:t>
      </w:r>
      <w:r>
        <w:rPr>
          <w:rFonts w:cstheme="minorHAnsi"/>
        </w:rPr>
        <w:t>otroku ter da bomo starše sproti obveščali o morebitno prestavljenih govorilnih urah (tudi preko obvestil na šolski spletni strani).</w:t>
      </w:r>
    </w:p>
    <w:p w:rsidR="006E1736" w:rsidRDefault="006E1736" w:rsidP="00266FC8">
      <w:pPr>
        <w:rPr>
          <w:rFonts w:cstheme="minorHAnsi"/>
        </w:rPr>
      </w:pPr>
    </w:p>
    <w:p w:rsidR="006E1736" w:rsidRDefault="006E1736" w:rsidP="00266FC8">
      <w:pPr>
        <w:rPr>
          <w:rFonts w:cstheme="minorHAnsi"/>
        </w:rPr>
      </w:pPr>
    </w:p>
    <w:p w:rsidR="007444FE" w:rsidRPr="0034012C" w:rsidRDefault="007444FE" w:rsidP="00266FC8">
      <w:pPr>
        <w:rPr>
          <w:rFonts w:cstheme="minorHAnsi"/>
        </w:rPr>
      </w:pPr>
      <w:bookmarkStart w:id="0" w:name="_GoBack"/>
      <w:bookmarkEnd w:id="0"/>
      <w:r>
        <w:rPr>
          <w:rFonts w:cstheme="minorHAnsi"/>
        </w:rPr>
        <w:t>Sabina Breznik, šolska svetovalna delavka</w:t>
      </w:r>
    </w:p>
    <w:sectPr w:rsidR="007444FE" w:rsidRPr="003401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80"/>
    <w:rsid w:val="000E07E9"/>
    <w:rsid w:val="00266FC8"/>
    <w:rsid w:val="0034012C"/>
    <w:rsid w:val="00566C0E"/>
    <w:rsid w:val="006E1736"/>
    <w:rsid w:val="007053E5"/>
    <w:rsid w:val="007444FE"/>
    <w:rsid w:val="007B7B71"/>
    <w:rsid w:val="00E602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0715"/>
  <w15:chartTrackingRefBased/>
  <w15:docId w15:val="{062460CE-BEB3-447B-81F8-76A0374A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266FC8"/>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18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txPr>
              <a:bodyPr/>
              <a:lstStyle/>
              <a:p>
                <a:pPr>
                  <a:defRPr sz="1100"/>
                </a:pPr>
                <a:endParaRPr lang="sl-SI"/>
              </a:p>
            </c:txPr>
            <c:showLegendKey val="0"/>
            <c:showVal val="0"/>
            <c:showCatName val="0"/>
            <c:showSerName val="0"/>
            <c:showPercent val="1"/>
            <c:showBubbleSize val="0"/>
            <c:showLeaderLines val="1"/>
            <c:extLst>
              <c:ext xmlns:c15="http://schemas.microsoft.com/office/drawing/2012/chart" uri="{CE6537A1-D6FC-4f65-9D91-7224C49458BB}"/>
            </c:extLst>
          </c:dLbls>
          <c:cat>
            <c:strRef>
              <c:f>List1!$AA$13:$AA$16</c:f>
              <c:strCache>
                <c:ptCount val="4"/>
                <c:pt idx="0">
                  <c:v>nikoli</c:v>
                </c:pt>
                <c:pt idx="1">
                  <c:v>1x-2x</c:v>
                </c:pt>
                <c:pt idx="2">
                  <c:v>3x-5x</c:v>
                </c:pt>
                <c:pt idx="3">
                  <c:v>6x-8x</c:v>
                </c:pt>
              </c:strCache>
            </c:strRef>
          </c:cat>
          <c:val>
            <c:numRef>
              <c:f>List1!$AB$13:$AB$16</c:f>
              <c:numCache>
                <c:formatCode>0%</c:formatCode>
                <c:ptCount val="4"/>
                <c:pt idx="0">
                  <c:v>4.11522633744856E-3</c:v>
                </c:pt>
                <c:pt idx="1">
                  <c:v>0.12345679012345678</c:v>
                </c:pt>
                <c:pt idx="2">
                  <c:v>0.45267489711934156</c:v>
                </c:pt>
                <c:pt idx="3">
                  <c:v>0.41975308641975306</c:v>
                </c:pt>
              </c:numCache>
            </c:numRef>
          </c:val>
          <c:extLst>
            <c:ext xmlns:c16="http://schemas.microsoft.com/office/drawing/2014/chart" uri="{C3380CC4-5D6E-409C-BE32-E72D297353CC}">
              <c16:uniqueId val="{00000000-B48D-409C-9596-ABA879E60C2E}"/>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sz="1100"/>
          </a:pPr>
          <a:endParaRPr lang="sl-SI"/>
        </a:p>
      </c:txPr>
    </c:legend>
    <c:plotVisOnly val="1"/>
    <c:dispBlanksAs val="gap"/>
    <c:showDLblsOverMax val="0"/>
  </c:chart>
  <c:spPr>
    <a:ln>
      <a:solidFill>
        <a:schemeClr val="tx1"/>
      </a:solidFill>
    </a:ln>
  </c:spPr>
  <c:txPr>
    <a:bodyPr/>
    <a:lstStyle/>
    <a:p>
      <a:pPr>
        <a:defRPr b="0">
          <a:ln>
            <a:noFill/>
          </a:ln>
        </a:defRPr>
      </a:pPr>
      <a:endParaRPr lang="sl-SI"/>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txPr>
              <a:bodyPr/>
              <a:lstStyle/>
              <a:p>
                <a:pPr>
                  <a:defRPr sz="1050"/>
                </a:pPr>
                <a:endParaRPr lang="sl-SI"/>
              </a:p>
            </c:txPr>
            <c:showLegendKey val="0"/>
            <c:showVal val="0"/>
            <c:showCatName val="0"/>
            <c:showSerName val="0"/>
            <c:showPercent val="1"/>
            <c:showBubbleSize val="0"/>
            <c:showLeaderLines val="1"/>
            <c:extLst>
              <c:ext xmlns:c15="http://schemas.microsoft.com/office/drawing/2012/chart" uri="{CE6537A1-D6FC-4f65-9D91-7224C49458BB}"/>
            </c:extLst>
          </c:dLbls>
          <c:cat>
            <c:strRef>
              <c:f>List1!$AE$13:$AE$16</c:f>
              <c:strCache>
                <c:ptCount val="4"/>
                <c:pt idx="0">
                  <c:v>Želim si sprotnih povratnih informacij o otrokovem delu, napredku in težavah.</c:v>
                </c:pt>
                <c:pt idx="1">
                  <c:v>Zanimajo me otrokove ocene.</c:v>
                </c:pt>
                <c:pt idx="2">
                  <c:v>Učitelju želim sporočiti pomembne informacije o mojem otroku.</c:v>
                </c:pt>
                <c:pt idx="3">
                  <c:v>Drugo .</c:v>
                </c:pt>
              </c:strCache>
            </c:strRef>
          </c:cat>
          <c:val>
            <c:numRef>
              <c:f>List1!$AF$13:$AF$16</c:f>
              <c:numCache>
                <c:formatCode>0%</c:formatCode>
                <c:ptCount val="4"/>
                <c:pt idx="0">
                  <c:v>0.58269720101781197</c:v>
                </c:pt>
                <c:pt idx="1">
                  <c:v>0.19592875318066158</c:v>
                </c:pt>
                <c:pt idx="2">
                  <c:v>0.19338422391857507</c:v>
                </c:pt>
                <c:pt idx="3">
                  <c:v>2.7989821882951654E-2</c:v>
                </c:pt>
              </c:numCache>
            </c:numRef>
          </c:val>
          <c:extLst>
            <c:ext xmlns:c16="http://schemas.microsoft.com/office/drawing/2014/chart" uri="{C3380CC4-5D6E-409C-BE32-E72D297353CC}">
              <c16:uniqueId val="{00000000-B30D-4BF3-8E54-EABDD8FF0D41}"/>
            </c:ext>
          </c:extLst>
        </c:ser>
        <c:dLbls>
          <c:showLegendKey val="0"/>
          <c:showVal val="0"/>
          <c:showCatName val="0"/>
          <c:showSerName val="0"/>
          <c:showPercent val="1"/>
          <c:showBubbleSize val="0"/>
          <c:showLeaderLines val="1"/>
        </c:dLbls>
        <c:firstSliceAng val="0"/>
      </c:pieChart>
    </c:plotArea>
    <c:legend>
      <c:legendPos val="t"/>
      <c:layout>
        <c:manualLayout>
          <c:xMode val="edge"/>
          <c:yMode val="edge"/>
          <c:x val="8.6269356955380572E-2"/>
          <c:y val="1.3675117961352179E-2"/>
          <c:w val="0.77468339895013116"/>
          <c:h val="0.29364713601394354"/>
        </c:manualLayout>
      </c:layout>
      <c:overlay val="0"/>
      <c:txPr>
        <a:bodyPr/>
        <a:lstStyle/>
        <a:p>
          <a:pPr>
            <a:defRPr sz="1000"/>
          </a:pPr>
          <a:endParaRPr lang="sl-SI"/>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txPr>
              <a:bodyPr/>
              <a:lstStyle/>
              <a:p>
                <a:pPr>
                  <a:defRPr sz="900"/>
                </a:pPr>
                <a:endParaRPr lang="sl-SI"/>
              </a:p>
            </c:txPr>
            <c:showLegendKey val="0"/>
            <c:showVal val="0"/>
            <c:showCatName val="1"/>
            <c:showSerName val="0"/>
            <c:showPercent val="1"/>
            <c:showBubbleSize val="0"/>
            <c:showLeaderLines val="1"/>
            <c:extLst>
              <c:ext xmlns:c15="http://schemas.microsoft.com/office/drawing/2012/chart" uri="{CE6537A1-D6FC-4f65-9D91-7224C49458BB}"/>
            </c:extLst>
          </c:dLbls>
          <c:cat>
            <c:strRef>
              <c:f>List1!$AI$13:$AI$21</c:f>
              <c:strCache>
                <c:ptCount val="9"/>
                <c:pt idx="0">
                  <c:v>Urnik v službi mi onemogoča udeležbo.</c:v>
                </c:pt>
                <c:pt idx="1">
                  <c:v>Otrok mi že doma pove, kakšne ocene ima.</c:v>
                </c:pt>
                <c:pt idx="2">
                  <c:v>Šolske stvari mora rešiti učitelj z otrokom sam.</c:v>
                </c:pt>
                <c:pt idx="3">
                  <c:v>Moj otrok nima težav v šoli.</c:v>
                </c:pt>
                <c:pt idx="4">
                  <c:v>Termin govorilnih ur mi ne ustreza.</c:v>
                </c:pt>
                <c:pt idx="5">
                  <c:v>Z učiteljem se ne morem kakovostno pogovoriti o težavah mojega otroka.</c:v>
                </c:pt>
                <c:pt idx="6">
                  <c:v>Učiteljem ne zaupam.</c:v>
                </c:pt>
                <c:pt idx="7">
                  <c:v>Ker imam več otrok, se ne morem udeležiti GU za vsakega.</c:v>
                </c:pt>
                <c:pt idx="8">
                  <c:v>Drugo.</c:v>
                </c:pt>
              </c:strCache>
            </c:strRef>
          </c:cat>
          <c:val>
            <c:numRef>
              <c:f>List1!$AJ$13:$AJ$21</c:f>
              <c:numCache>
                <c:formatCode>0%</c:formatCode>
                <c:ptCount val="9"/>
                <c:pt idx="0">
                  <c:v>0.36842105263157893</c:v>
                </c:pt>
                <c:pt idx="1">
                  <c:v>3.9473684210526314E-2</c:v>
                </c:pt>
                <c:pt idx="2">
                  <c:v>0.24013157894736842</c:v>
                </c:pt>
                <c:pt idx="3">
                  <c:v>1.9736842105263157E-2</c:v>
                </c:pt>
                <c:pt idx="4">
                  <c:v>9.8684210526315791E-2</c:v>
                </c:pt>
                <c:pt idx="5">
                  <c:v>9.8684210526315784E-3</c:v>
                </c:pt>
                <c:pt idx="6">
                  <c:v>6.5789473684210523E-3</c:v>
                </c:pt>
                <c:pt idx="7">
                  <c:v>0.11842105263157894</c:v>
                </c:pt>
                <c:pt idx="8">
                  <c:v>9.8684210526315791E-2</c:v>
                </c:pt>
              </c:numCache>
            </c:numRef>
          </c:val>
          <c:extLst>
            <c:ext xmlns:c16="http://schemas.microsoft.com/office/drawing/2014/chart" uri="{C3380CC4-5D6E-409C-BE32-E72D297353CC}">
              <c16:uniqueId val="{00000000-F74A-49A0-8C14-5A792859C4CC}"/>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txPr>
              <a:bodyPr wrap="square" lIns="38100" tIns="19050" rIns="38100" bIns="19050" anchor="ctr">
                <a:spAutoFit/>
              </a:bodyPr>
              <a:lstStyle/>
              <a:p>
                <a:pPr>
                  <a:defRPr sz="1100"/>
                </a:pPr>
                <a:endParaRPr lang="sl-SI"/>
              </a:p>
            </c:txPr>
            <c:showLegendKey val="0"/>
            <c:showVal val="0"/>
            <c:showCatName val="0"/>
            <c:showSerName val="0"/>
            <c:showPercent val="1"/>
            <c:showBubbleSize val="0"/>
            <c:showLeaderLines val="1"/>
            <c:extLst>
              <c:ext xmlns:c15="http://schemas.microsoft.com/office/drawing/2012/chart" uri="{CE6537A1-D6FC-4f65-9D91-7224C49458BB}"/>
            </c:extLst>
          </c:dLbls>
          <c:cat>
            <c:strRef>
              <c:f>List1!$AM$13:$AM$16</c:f>
              <c:strCache>
                <c:ptCount val="4"/>
                <c:pt idx="0">
                  <c:v>Samo razrednika.</c:v>
                </c:pt>
                <c:pt idx="1">
                  <c:v>Razrednika in učitelje predmetov, kjer ima moj otrok nekaj težav.</c:v>
                </c:pt>
                <c:pt idx="2">
                  <c:v>Učitelje predmetov, kjer ima moj otrok težave.</c:v>
                </c:pt>
                <c:pt idx="3">
                  <c:v>Drugo.</c:v>
                </c:pt>
              </c:strCache>
            </c:strRef>
          </c:cat>
          <c:val>
            <c:numRef>
              <c:f>List1!$AN$13:$AN$16</c:f>
              <c:numCache>
                <c:formatCode>0%</c:formatCode>
                <c:ptCount val="4"/>
                <c:pt idx="0">
                  <c:v>0.81893004115226342</c:v>
                </c:pt>
                <c:pt idx="1">
                  <c:v>0.14814814814814814</c:v>
                </c:pt>
                <c:pt idx="2">
                  <c:v>2.0576131687242798E-2</c:v>
                </c:pt>
                <c:pt idx="3">
                  <c:v>1.2345679012345678E-2</c:v>
                </c:pt>
              </c:numCache>
            </c:numRef>
          </c:val>
          <c:extLst>
            <c:ext xmlns:c16="http://schemas.microsoft.com/office/drawing/2014/chart" uri="{C3380CC4-5D6E-409C-BE32-E72D297353CC}">
              <c16:uniqueId val="{00000000-3DDD-457F-9D83-C7F24B2DAA58}"/>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sz="1050"/>
          </a:pPr>
          <a:endParaRPr lang="sl-SI"/>
        </a:p>
      </c:txPr>
    </c:legend>
    <c:plotVisOnly val="1"/>
    <c:dispBlanksAs val="gap"/>
    <c:showDLblsOverMax val="0"/>
  </c:chart>
  <c:txPr>
    <a:bodyPr/>
    <a:lstStyle/>
    <a:p>
      <a:pPr>
        <a:defRPr sz="1800"/>
      </a:pPr>
      <a:endParaRPr lang="sl-SI"/>
    </a:p>
  </c:txPr>
  <c:externalData r:id="rId1">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471</Words>
  <Characters>2690</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2018-06-20T09:39:00Z</dcterms:created>
  <dcterms:modified xsi:type="dcterms:W3CDTF">2018-06-21T09:27:00Z</dcterms:modified>
</cp:coreProperties>
</file>