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BE" w:rsidRPr="00863D34" w:rsidRDefault="00876202" w:rsidP="00876202">
      <w:pPr>
        <w:jc w:val="center"/>
        <w:rPr>
          <w:rFonts w:ascii="Bradley Hand ITC" w:hAnsi="Bradley Hand ITC"/>
          <w:b/>
          <w:color w:val="FF0000"/>
          <w:sz w:val="56"/>
          <w:szCs w:val="56"/>
        </w:rPr>
      </w:pPr>
      <w:r w:rsidRPr="00863D34">
        <w:rPr>
          <w:rFonts w:ascii="Bradley Hand ITC" w:hAnsi="Bradley Hand ITC"/>
          <w:b/>
          <w:color w:val="FF0000"/>
          <w:sz w:val="56"/>
          <w:szCs w:val="56"/>
        </w:rPr>
        <w:t>PREMAGOVANJE STRESA PRI OTROCIH</w:t>
      </w:r>
    </w:p>
    <w:p w:rsidR="00711D59" w:rsidRPr="00863D34" w:rsidRDefault="00711D59" w:rsidP="00863D34">
      <w:pPr>
        <w:jc w:val="both"/>
        <w:rPr>
          <w:rFonts w:ascii="Comic Sans MS" w:hAnsi="Comic Sans MS"/>
          <w:sz w:val="28"/>
          <w:szCs w:val="28"/>
        </w:rPr>
      </w:pPr>
      <w:r w:rsidRPr="00863D34">
        <w:rPr>
          <w:rFonts w:ascii="Comic Sans MS" w:hAnsi="Comic Sans MS"/>
          <w:sz w:val="28"/>
          <w:szCs w:val="28"/>
        </w:rPr>
        <w:t xml:space="preserve">Odrasli se zaradi sodobnega načina življenja pogosto znajdemo v stresu, ki lahko, če ne najdemo ustreznih mehanizmov, kako se spopasti z njim, kmalu začne vplivati na različna področja našega delovanja. </w:t>
      </w:r>
      <w:r w:rsidRPr="00863D34">
        <w:rPr>
          <w:rFonts w:ascii="Comic Sans MS" w:hAnsi="Comic Sans MS"/>
          <w:sz w:val="28"/>
          <w:szCs w:val="28"/>
        </w:rPr>
        <w:t xml:space="preserve">Stres je odgovor organizma na zunanje okoliščine </w:t>
      </w:r>
      <w:r w:rsidRPr="00863D34">
        <w:rPr>
          <w:rFonts w:ascii="Comic Sans MS" w:hAnsi="Comic Sans MS" w:cstheme="minorHAnsi"/>
          <w:sz w:val="28"/>
          <w:szCs w:val="28"/>
        </w:rPr>
        <w:t>−</w:t>
      </w:r>
      <w:r w:rsidRPr="00863D34">
        <w:rPr>
          <w:rFonts w:ascii="Comic Sans MS" w:hAnsi="Comic Sans MS"/>
          <w:sz w:val="28"/>
          <w:szCs w:val="28"/>
        </w:rPr>
        <w:t xml:space="preserve"> dogajanje, ki zmoti človekovo naravno ravnovesje in aktivira prilagoditvene procese (Zidar Gale 2013 po </w:t>
      </w:r>
      <w:proofErr w:type="spellStart"/>
      <w:r w:rsidRPr="00863D34">
        <w:rPr>
          <w:rFonts w:ascii="Comic Sans MS" w:hAnsi="Comic Sans MS"/>
          <w:sz w:val="28"/>
          <w:szCs w:val="28"/>
        </w:rPr>
        <w:t>Kopčavar</w:t>
      </w:r>
      <w:proofErr w:type="spellEnd"/>
      <w:r w:rsidRPr="00863D34">
        <w:rPr>
          <w:rFonts w:ascii="Comic Sans MS" w:hAnsi="Comic Sans MS"/>
          <w:sz w:val="28"/>
          <w:szCs w:val="28"/>
        </w:rPr>
        <w:t xml:space="preserve"> Guček 2011)</w:t>
      </w:r>
      <w:r w:rsidR="00863D34">
        <w:rPr>
          <w:rFonts w:ascii="Comic Sans MS" w:hAnsi="Comic Sans MS"/>
          <w:sz w:val="28"/>
          <w:szCs w:val="28"/>
        </w:rPr>
        <w:t>.</w:t>
      </w:r>
    </w:p>
    <w:p w:rsidR="00711D59" w:rsidRPr="00863D34" w:rsidRDefault="00711D59" w:rsidP="00863D34">
      <w:pPr>
        <w:jc w:val="both"/>
        <w:rPr>
          <w:rFonts w:ascii="Comic Sans MS" w:hAnsi="Comic Sans MS"/>
          <w:sz w:val="28"/>
          <w:szCs w:val="28"/>
        </w:rPr>
      </w:pPr>
      <w:r w:rsidRPr="00863D34">
        <w:rPr>
          <w:rFonts w:ascii="Comic Sans MS" w:hAnsi="Comic Sans MS"/>
          <w:sz w:val="28"/>
          <w:szCs w:val="28"/>
        </w:rPr>
        <w:t xml:space="preserve">A stres ne prizadene le odraslih. Tudi otroci dnevno doživljajo stresne situacije, ki vplivajo na njihovo počutje in vedenje, npr. </w:t>
      </w:r>
      <w:r w:rsidRPr="00863D34">
        <w:rPr>
          <w:rFonts w:ascii="Comic Sans MS" w:hAnsi="Comic Sans MS"/>
          <w:sz w:val="28"/>
          <w:szCs w:val="28"/>
        </w:rPr>
        <w:t>prvi dan v šoli/vrtcu, spraševanje in preizkusi znanja, ponavljajoče se slabe ocene, neuspehi, govorne vaje, nastopi, duševno ter telesno nasilje vrstnikov v šoli/vrtcu, konfliktni odnosi z učitelji/vzgojitelji, stalno spreminjanje učnih načrtov, pravil, meril, pogoje</w:t>
      </w:r>
      <w:r w:rsidR="00863D34">
        <w:rPr>
          <w:rFonts w:ascii="Comic Sans MS" w:hAnsi="Comic Sans MS"/>
          <w:sz w:val="28"/>
          <w:szCs w:val="28"/>
        </w:rPr>
        <w:t>v, v trenutnem času pa je velik povzročitelj stresa tudi situacija, povezana s covidom-19</w:t>
      </w:r>
      <w:r w:rsidRPr="00863D34">
        <w:rPr>
          <w:rFonts w:ascii="Comic Sans MS" w:hAnsi="Comic Sans MS"/>
          <w:sz w:val="28"/>
          <w:szCs w:val="28"/>
        </w:rPr>
        <w:t xml:space="preserve">. </w:t>
      </w:r>
      <w:r w:rsidR="00863D34">
        <w:rPr>
          <w:rFonts w:ascii="Comic Sans MS" w:hAnsi="Comic Sans MS"/>
          <w:sz w:val="28"/>
          <w:szCs w:val="28"/>
        </w:rPr>
        <w:t>O</w:t>
      </w:r>
      <w:r w:rsidRPr="00863D34">
        <w:rPr>
          <w:rFonts w:ascii="Comic Sans MS" w:hAnsi="Comic Sans MS"/>
          <w:sz w:val="28"/>
          <w:szCs w:val="28"/>
        </w:rPr>
        <w:t xml:space="preserve">dpravimo ali zmanjšamo </w:t>
      </w:r>
      <w:r w:rsidR="00863D34">
        <w:rPr>
          <w:rFonts w:ascii="Comic Sans MS" w:hAnsi="Comic Sans MS"/>
          <w:sz w:val="28"/>
          <w:szCs w:val="28"/>
        </w:rPr>
        <w:t xml:space="preserve">ga lahko </w:t>
      </w:r>
      <w:r w:rsidRPr="00863D34">
        <w:rPr>
          <w:rFonts w:ascii="Comic Sans MS" w:hAnsi="Comic Sans MS"/>
          <w:sz w:val="28"/>
          <w:szCs w:val="28"/>
        </w:rPr>
        <w:t>z različnimi tehnikami sproščanja, ki ustrezajo posamezniku. V nadaljevanju je</w:t>
      </w:r>
      <w:r w:rsidR="006F4DF3" w:rsidRPr="00863D34">
        <w:rPr>
          <w:rFonts w:ascii="Comic Sans MS" w:hAnsi="Comic Sans MS"/>
          <w:sz w:val="28"/>
          <w:szCs w:val="28"/>
        </w:rPr>
        <w:t xml:space="preserve"> predstavljen </w:t>
      </w:r>
      <w:proofErr w:type="spellStart"/>
      <w:r w:rsidR="006F4DF3" w:rsidRPr="00863D34">
        <w:rPr>
          <w:rFonts w:ascii="Comic Sans MS" w:hAnsi="Comic Sans MS"/>
          <w:sz w:val="28"/>
          <w:szCs w:val="28"/>
        </w:rPr>
        <w:t>Brain</w:t>
      </w:r>
      <w:proofErr w:type="spellEnd"/>
      <w:r w:rsidR="006F4DF3" w:rsidRPr="00863D3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F4DF3" w:rsidRPr="00863D34">
        <w:rPr>
          <w:rFonts w:ascii="Comic Sans MS" w:hAnsi="Comic Sans MS"/>
          <w:sz w:val="28"/>
          <w:szCs w:val="28"/>
        </w:rPr>
        <w:t>Gym</w:t>
      </w:r>
      <w:proofErr w:type="spellEnd"/>
      <w:r w:rsidR="006F4DF3" w:rsidRPr="00863D34">
        <w:rPr>
          <w:rFonts w:ascii="Comic Sans MS" w:hAnsi="Comic Sans MS"/>
          <w:sz w:val="28"/>
          <w:szCs w:val="28"/>
        </w:rPr>
        <w:t xml:space="preserve"> in štiri kratke vaje</w:t>
      </w:r>
      <w:r w:rsidR="00FE06A7">
        <w:rPr>
          <w:rFonts w:ascii="Comic Sans MS" w:hAnsi="Comic Sans MS"/>
          <w:sz w:val="28"/>
          <w:szCs w:val="28"/>
        </w:rPr>
        <w:t xml:space="preserve"> (PACE)</w:t>
      </w:r>
      <w:r w:rsidR="006F4DF3" w:rsidRPr="00863D34">
        <w:rPr>
          <w:rFonts w:ascii="Comic Sans MS" w:hAnsi="Comic Sans MS"/>
          <w:sz w:val="28"/>
          <w:szCs w:val="28"/>
        </w:rPr>
        <w:t>, ki jih lahko z otrokom vsakodnevno izvajate</w:t>
      </w:r>
      <w:r w:rsidR="00863D34">
        <w:rPr>
          <w:rFonts w:ascii="Comic Sans MS" w:hAnsi="Comic Sans MS"/>
          <w:sz w:val="28"/>
          <w:szCs w:val="28"/>
        </w:rPr>
        <w:t xml:space="preserve"> doma</w:t>
      </w:r>
      <w:r w:rsidR="006F4DF3" w:rsidRPr="00863D34">
        <w:rPr>
          <w:rFonts w:ascii="Comic Sans MS" w:hAnsi="Comic Sans MS"/>
          <w:sz w:val="28"/>
          <w:szCs w:val="28"/>
        </w:rPr>
        <w:t>.</w:t>
      </w:r>
      <w:r w:rsidR="00863D34">
        <w:rPr>
          <w:rFonts w:ascii="Comic Sans MS" w:hAnsi="Comic Sans MS"/>
          <w:sz w:val="28"/>
          <w:szCs w:val="28"/>
        </w:rPr>
        <w:t xml:space="preserve"> Naredite jih v navedenem vrstnem redu. Na spletu lahko najdete tudi različne vaje joge za otroke, tehnike sproščanja, ki bodo pomagale odpraviti stres, hkrati pa vam bodo omogočile kakovostno preživljanje časa s svojim otrokom. Časa, ki prehitro teče in se nikoli več ne vrne, zato ga čim bolje izkoristite!</w:t>
      </w:r>
      <w:r w:rsidR="00FE06A7">
        <w:rPr>
          <w:rFonts w:ascii="Comic Sans MS" w:hAnsi="Comic Sans MS"/>
          <w:sz w:val="28"/>
          <w:szCs w:val="28"/>
        </w:rPr>
        <w:t xml:space="preserve"> In ne pozabite se pri tem zabavati, saj je smeh odlično zdravilo za premagovanje stresa.</w:t>
      </w:r>
      <w:bookmarkStart w:id="0" w:name="_GoBack"/>
      <w:bookmarkEnd w:id="0"/>
    </w:p>
    <w:p w:rsidR="00863D34" w:rsidRDefault="00863D34" w:rsidP="00863D34">
      <w:pPr>
        <w:pStyle w:val="Odstavekseznama"/>
        <w:rPr>
          <w:rFonts w:ascii="Bradley Hand ITC" w:hAnsi="Bradley Hand ITC"/>
          <w:b/>
          <w:color w:val="4472C4" w:themeColor="accent1"/>
          <w:sz w:val="32"/>
          <w:szCs w:val="32"/>
        </w:rPr>
      </w:pPr>
    </w:p>
    <w:p w:rsidR="00863D34" w:rsidRDefault="00863D34" w:rsidP="00863D34">
      <w:pPr>
        <w:pStyle w:val="Odstavekseznama"/>
        <w:rPr>
          <w:rFonts w:ascii="Bradley Hand ITC" w:hAnsi="Bradley Hand ITC"/>
          <w:b/>
          <w:color w:val="4472C4" w:themeColor="accent1"/>
          <w:sz w:val="32"/>
          <w:szCs w:val="32"/>
        </w:rPr>
      </w:pPr>
    </w:p>
    <w:p w:rsidR="00863D34" w:rsidRDefault="00863D34" w:rsidP="00863D34">
      <w:pPr>
        <w:pStyle w:val="Odstavekseznama"/>
        <w:rPr>
          <w:rFonts w:ascii="Bradley Hand ITC" w:hAnsi="Bradley Hand ITC"/>
          <w:b/>
          <w:color w:val="4472C4" w:themeColor="accent1"/>
          <w:sz w:val="32"/>
          <w:szCs w:val="32"/>
        </w:rPr>
      </w:pPr>
    </w:p>
    <w:p w:rsidR="006F4DF3" w:rsidRPr="00863D34" w:rsidRDefault="006F4DF3" w:rsidP="006F4DF3">
      <w:pPr>
        <w:pStyle w:val="Odstavekseznama"/>
        <w:numPr>
          <w:ilvl w:val="0"/>
          <w:numId w:val="1"/>
        </w:numPr>
        <w:rPr>
          <w:rFonts w:ascii="Bradley Hand ITC" w:hAnsi="Bradley Hand ITC"/>
          <w:b/>
          <w:color w:val="4472C4" w:themeColor="accent1"/>
          <w:sz w:val="32"/>
          <w:szCs w:val="32"/>
        </w:rPr>
      </w:pPr>
      <w:r w:rsidRPr="00863D34">
        <w:rPr>
          <w:rFonts w:ascii="Bradley Hand ITC" w:hAnsi="Bradley Hand ITC"/>
          <w:b/>
          <w:noProof/>
          <w:color w:val="4472C4" w:themeColor="accent1"/>
        </w:rPr>
        <w:lastRenderedPageBreak/>
        <w:drawing>
          <wp:anchor distT="0" distB="0" distL="114300" distR="114300" simplePos="0" relativeHeight="251658240" behindDoc="0" locked="0" layoutInCell="1" allowOverlap="1" wp14:anchorId="117C09B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01752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409" y="21357"/>
                <wp:lineTo x="21409" y="0"/>
                <wp:lineTo x="0" y="0"/>
              </wp:wrapPolygon>
            </wp:wrapThrough>
            <wp:docPr id="2" name="Slika 2" descr="PITJE VODE | OŠ Prežihovega Voranc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TJE VODE | OŠ Prežihovega Voranca Marib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D34">
        <w:rPr>
          <w:rFonts w:ascii="Bradley Hand ITC" w:hAnsi="Bradley Hand ITC"/>
          <w:b/>
          <w:color w:val="4472C4" w:themeColor="accent1"/>
          <w:sz w:val="32"/>
          <w:szCs w:val="32"/>
        </w:rPr>
        <w:t xml:space="preserve">PITJE VODE </w:t>
      </w:r>
    </w:p>
    <w:p w:rsidR="006F4DF3" w:rsidRDefault="006F4DF3" w:rsidP="006F4DF3">
      <w:r w:rsidRPr="00863D34">
        <w:rPr>
          <w:rFonts w:ascii="Bradley Hand ITC" w:hAnsi="Bradley Hand ITC"/>
          <w:b/>
          <w:color w:val="4472C4" w:themeColor="accent1"/>
          <w:sz w:val="32"/>
          <w:szCs w:val="32"/>
        </w:rPr>
        <w:t>Popijte nekaj vode po požirkih. Vsak požirek malce zadržite v ustih, preden ga popijete</w:t>
      </w:r>
      <w:r>
        <w:t xml:space="preserve">. </w:t>
      </w:r>
    </w:p>
    <w:p w:rsidR="006F4DF3" w:rsidRDefault="006F4DF3" w:rsidP="006F4DF3"/>
    <w:p w:rsidR="006F4DF3" w:rsidRDefault="006F4DF3" w:rsidP="006F4DF3"/>
    <w:p w:rsidR="006F4DF3" w:rsidRDefault="006F4DF3" w:rsidP="006F4DF3"/>
    <w:p w:rsidR="006F4DF3" w:rsidRDefault="006F4DF3" w:rsidP="006F4DF3"/>
    <w:p w:rsidR="006F4DF3" w:rsidRDefault="006F4DF3" w:rsidP="006F4DF3"/>
    <w:p w:rsidR="006F4DF3" w:rsidRDefault="006F4DF3" w:rsidP="006F4DF3"/>
    <w:p w:rsidR="006F4DF3" w:rsidRPr="00863D34" w:rsidRDefault="006F4DF3" w:rsidP="006F4DF3">
      <w:pPr>
        <w:pStyle w:val="Odstavekseznama"/>
        <w:numPr>
          <w:ilvl w:val="0"/>
          <w:numId w:val="1"/>
        </w:numPr>
        <w:rPr>
          <w:rFonts w:ascii="Bradley Hand ITC" w:hAnsi="Bradley Hand ITC"/>
          <w:color w:val="FF0000"/>
          <w:sz w:val="32"/>
          <w:szCs w:val="32"/>
        </w:rPr>
      </w:pPr>
      <w:r w:rsidRPr="00863D34">
        <w:rPr>
          <w:rFonts w:ascii="Bradley Hand ITC" w:hAnsi="Bradley Hand ITC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F1D543E">
            <wp:simplePos x="0" y="0"/>
            <wp:positionH relativeFrom="margin">
              <wp:posOffset>264795</wp:posOffset>
            </wp:positionH>
            <wp:positionV relativeFrom="paragraph">
              <wp:posOffset>207010</wp:posOffset>
            </wp:positionV>
            <wp:extent cx="1691640" cy="2491740"/>
            <wp:effectExtent l="0" t="0" r="3810" b="3810"/>
            <wp:wrapThrough wrapText="bothSides">
              <wp:wrapPolygon edited="0">
                <wp:start x="0" y="0"/>
                <wp:lineTo x="0" y="21468"/>
                <wp:lineTo x="21405" y="21468"/>
                <wp:lineTo x="21405" y="0"/>
                <wp:lineTo x="0" y="0"/>
              </wp:wrapPolygon>
            </wp:wrapThrough>
            <wp:docPr id="5" name="Slika 5" descr="Brain Gym Exercise for kids | Innovat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in Gym Exercise for kids | Innovat 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D34">
        <w:rPr>
          <w:rFonts w:ascii="Bradley Hand ITC" w:hAnsi="Bradley Hand ITC"/>
          <w:color w:val="FF0000"/>
          <w:sz w:val="32"/>
          <w:szCs w:val="32"/>
        </w:rPr>
        <w:t xml:space="preserve">MOŽGANSKA GUMBKA </w:t>
      </w:r>
    </w:p>
    <w:p w:rsidR="00863D34" w:rsidRPr="00863D34" w:rsidRDefault="006F4DF3" w:rsidP="00863D34">
      <w:pPr>
        <w:ind w:left="360"/>
        <w:rPr>
          <w:rFonts w:ascii="Bradley Hand ITC" w:hAnsi="Bradley Hand ITC"/>
          <w:color w:val="FF0000"/>
          <w:sz w:val="32"/>
          <w:szCs w:val="32"/>
        </w:rPr>
      </w:pPr>
      <w:r w:rsidRPr="00863D34">
        <w:rPr>
          <w:rFonts w:ascii="Bradley Hand ITC" w:hAnsi="Bradley Hand ITC"/>
          <w:color w:val="FF0000"/>
          <w:sz w:val="32"/>
          <w:szCs w:val="32"/>
        </w:rPr>
        <w:t>Eno roko položite na popek. Z drugo roko naredite obliko U-ja, pri tem pa palec in kazalec položite v majhni vdolbinici neposredno pod klju</w:t>
      </w:r>
      <w:r w:rsidRPr="00863D34">
        <w:rPr>
          <w:rFonts w:ascii="Cambria" w:hAnsi="Cambria" w:cs="Cambria"/>
          <w:color w:val="FF0000"/>
          <w:sz w:val="32"/>
          <w:szCs w:val="32"/>
        </w:rPr>
        <w:t>č</w:t>
      </w:r>
      <w:r w:rsidRPr="00863D34">
        <w:rPr>
          <w:rFonts w:ascii="Bradley Hand ITC" w:hAnsi="Bradley Hand ITC"/>
          <w:color w:val="FF0000"/>
          <w:sz w:val="32"/>
          <w:szCs w:val="32"/>
        </w:rPr>
        <w:t>nico (pribli</w:t>
      </w:r>
      <w:r w:rsidRPr="00863D34">
        <w:rPr>
          <w:rFonts w:ascii="Bradley Hand ITC" w:hAnsi="Bradley Hand ITC" w:cs="Bradley Hand ITC"/>
          <w:color w:val="FF0000"/>
          <w:sz w:val="32"/>
          <w:szCs w:val="32"/>
        </w:rPr>
        <w:t>ž</w:t>
      </w:r>
      <w:r w:rsidRPr="00863D34">
        <w:rPr>
          <w:rFonts w:ascii="Bradley Hand ITC" w:hAnsi="Bradley Hand ITC"/>
          <w:color w:val="FF0000"/>
          <w:sz w:val="32"/>
          <w:szCs w:val="32"/>
        </w:rPr>
        <w:t>no 1 cm na vsaki strani prsnice). Ne</w:t>
      </w:r>
      <w:r w:rsidRPr="00863D34">
        <w:rPr>
          <w:rFonts w:ascii="Bradley Hand ITC" w:hAnsi="Bradley Hand ITC" w:cs="Bradley Hand ITC"/>
          <w:color w:val="FF0000"/>
          <w:sz w:val="32"/>
          <w:szCs w:val="32"/>
        </w:rPr>
        <w:t>ž</w:t>
      </w:r>
      <w:r w:rsidRPr="00863D34">
        <w:rPr>
          <w:rFonts w:ascii="Bradley Hand ITC" w:hAnsi="Bradley Hand ITC"/>
          <w:color w:val="FF0000"/>
          <w:sz w:val="32"/>
          <w:szCs w:val="32"/>
        </w:rPr>
        <w:t>no masirajte ti dve to</w:t>
      </w:r>
      <w:r w:rsidRPr="00863D34">
        <w:rPr>
          <w:rFonts w:ascii="Cambria" w:hAnsi="Cambria" w:cs="Cambria"/>
          <w:color w:val="FF0000"/>
          <w:sz w:val="32"/>
          <w:szCs w:val="32"/>
        </w:rPr>
        <w:t>č</w:t>
      </w:r>
      <w:r w:rsidRPr="00863D34">
        <w:rPr>
          <w:rFonts w:ascii="Bradley Hand ITC" w:hAnsi="Bradley Hand ITC"/>
          <w:color w:val="FF0000"/>
          <w:sz w:val="32"/>
          <w:szCs w:val="32"/>
        </w:rPr>
        <w:t>ki pribli</w:t>
      </w:r>
      <w:r w:rsidRPr="00863D34">
        <w:rPr>
          <w:rFonts w:ascii="Bradley Hand ITC" w:hAnsi="Bradley Hand ITC" w:cs="Bradley Hand ITC"/>
          <w:color w:val="FF0000"/>
          <w:sz w:val="32"/>
          <w:szCs w:val="32"/>
        </w:rPr>
        <w:t>ž</w:t>
      </w:r>
      <w:r w:rsidRPr="00863D34">
        <w:rPr>
          <w:rFonts w:ascii="Bradley Hand ITC" w:hAnsi="Bradley Hand ITC"/>
          <w:color w:val="FF0000"/>
          <w:sz w:val="32"/>
          <w:szCs w:val="32"/>
        </w:rPr>
        <w:t>no trideset sekund in ob tem po</w:t>
      </w:r>
      <w:r w:rsidRPr="00863D34">
        <w:rPr>
          <w:rFonts w:ascii="Cambria" w:hAnsi="Cambria" w:cs="Cambria"/>
          <w:color w:val="FF0000"/>
          <w:sz w:val="32"/>
          <w:szCs w:val="32"/>
        </w:rPr>
        <w:t>č</w:t>
      </w:r>
      <w:r w:rsidRPr="00863D34">
        <w:rPr>
          <w:rFonts w:ascii="Bradley Hand ITC" w:hAnsi="Bradley Hand ITC"/>
          <w:color w:val="FF0000"/>
          <w:sz w:val="32"/>
          <w:szCs w:val="32"/>
        </w:rPr>
        <w:t>asi premikajte o</w:t>
      </w:r>
      <w:r w:rsidRPr="00863D34">
        <w:rPr>
          <w:rFonts w:ascii="Cambria" w:hAnsi="Cambria" w:cs="Cambria"/>
          <w:color w:val="FF0000"/>
          <w:sz w:val="32"/>
          <w:szCs w:val="32"/>
        </w:rPr>
        <w:t>č</w:t>
      </w:r>
      <w:r w:rsidRPr="00863D34">
        <w:rPr>
          <w:rFonts w:ascii="Bradley Hand ITC" w:hAnsi="Bradley Hand ITC"/>
          <w:color w:val="FF0000"/>
          <w:sz w:val="32"/>
          <w:szCs w:val="32"/>
        </w:rPr>
        <w:t>i na levo in desno stran vzdol</w:t>
      </w:r>
      <w:r w:rsidRPr="00863D34">
        <w:rPr>
          <w:rFonts w:ascii="Bradley Hand ITC" w:hAnsi="Bradley Hand ITC" w:cs="Bradley Hand ITC"/>
          <w:color w:val="FF0000"/>
          <w:sz w:val="32"/>
          <w:szCs w:val="32"/>
        </w:rPr>
        <w:t>ž</w:t>
      </w:r>
      <w:r w:rsidRPr="00863D34">
        <w:rPr>
          <w:rFonts w:ascii="Bradley Hand ITC" w:hAnsi="Bradley Hand ITC"/>
          <w:color w:val="FF0000"/>
          <w:sz w:val="32"/>
          <w:szCs w:val="32"/>
        </w:rPr>
        <w:t xml:space="preserve"> horizontalne linije. Enako ponovite </w:t>
      </w:r>
      <w:r w:rsidRPr="00863D34">
        <w:rPr>
          <w:rFonts w:ascii="Bradley Hand ITC" w:hAnsi="Bradley Hand ITC" w:cs="Bradley Hand ITC"/>
          <w:color w:val="FF0000"/>
          <w:sz w:val="32"/>
          <w:szCs w:val="32"/>
        </w:rPr>
        <w:t>š</w:t>
      </w:r>
      <w:r w:rsidRPr="00863D34">
        <w:rPr>
          <w:rFonts w:ascii="Bradley Hand ITC" w:hAnsi="Bradley Hand ITC"/>
          <w:color w:val="FF0000"/>
          <w:sz w:val="32"/>
          <w:szCs w:val="32"/>
        </w:rPr>
        <w:t xml:space="preserve">e z drugo roko. </w:t>
      </w:r>
    </w:p>
    <w:p w:rsidR="006F4DF3" w:rsidRPr="00863D34" w:rsidRDefault="00EB48DB" w:rsidP="006F4DF3">
      <w:pPr>
        <w:pStyle w:val="Odstavekseznama"/>
        <w:numPr>
          <w:ilvl w:val="0"/>
          <w:numId w:val="1"/>
        </w:numPr>
        <w:rPr>
          <w:rFonts w:ascii="Bradley Hand ITC" w:hAnsi="Bradley Hand ITC"/>
          <w:color w:val="00B050"/>
          <w:sz w:val="32"/>
          <w:szCs w:val="32"/>
        </w:rPr>
      </w:pPr>
      <w:r w:rsidRPr="00863D34">
        <w:rPr>
          <w:rFonts w:ascii="Bradley Hand ITC" w:hAnsi="Bradley Hand ITC"/>
          <w:color w:val="00B05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3175</wp:posOffset>
            </wp:positionV>
            <wp:extent cx="1165860" cy="2733040"/>
            <wp:effectExtent l="0" t="0" r="0" b="0"/>
            <wp:wrapThrough wrapText="bothSides">
              <wp:wrapPolygon edited="0">
                <wp:start x="0" y="0"/>
                <wp:lineTo x="0" y="21379"/>
                <wp:lineTo x="21176" y="21379"/>
                <wp:lineTo x="21176" y="0"/>
                <wp:lineTo x="0" y="0"/>
              </wp:wrapPolygon>
            </wp:wrapThrough>
            <wp:docPr id="1" name="Slika 1" descr="The Cross Crawl: A Remarkable Movement | Hearts at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ross Crawl: A Remarkable Movement | Hearts at Pl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F3" w:rsidRPr="00863D34">
        <w:rPr>
          <w:rFonts w:ascii="Bradley Hand ITC" w:hAnsi="Bradley Hand ITC"/>
          <w:color w:val="00B050"/>
          <w:sz w:val="32"/>
          <w:szCs w:val="32"/>
        </w:rPr>
        <w:t xml:space="preserve">KRIŽNO GIBANJE </w:t>
      </w:r>
    </w:p>
    <w:p w:rsidR="00EB48DB" w:rsidRPr="00863D34" w:rsidRDefault="006F4DF3" w:rsidP="006F4DF3">
      <w:pPr>
        <w:ind w:left="360"/>
        <w:rPr>
          <w:rFonts w:ascii="Bradley Hand ITC" w:hAnsi="Bradley Hand ITC"/>
          <w:color w:val="00B050"/>
          <w:sz w:val="32"/>
          <w:szCs w:val="32"/>
        </w:rPr>
      </w:pPr>
      <w:r w:rsidRPr="00863D34">
        <w:rPr>
          <w:rFonts w:ascii="Bradley Hand ITC" w:hAnsi="Bradley Hand ITC"/>
          <w:color w:val="00B050"/>
          <w:sz w:val="32"/>
          <w:szCs w:val="32"/>
        </w:rPr>
        <w:t>Pri tej gibalni dejavnosti pre</w:t>
      </w:r>
      <w:r w:rsidRPr="00863D34">
        <w:rPr>
          <w:rFonts w:ascii="Cambria" w:hAnsi="Cambria" w:cs="Cambria"/>
          <w:color w:val="00B050"/>
          <w:sz w:val="32"/>
          <w:szCs w:val="32"/>
        </w:rPr>
        <w:t>č</w:t>
      </w:r>
      <w:r w:rsidRPr="00863D34">
        <w:rPr>
          <w:rFonts w:ascii="Bradley Hand ITC" w:hAnsi="Bradley Hand ITC"/>
          <w:color w:val="00B050"/>
          <w:sz w:val="32"/>
          <w:szCs w:val="32"/>
        </w:rPr>
        <w:t>kajte sredinsko linijo, medtem ko izmeni</w:t>
      </w:r>
      <w:r w:rsidRPr="00863D34">
        <w:rPr>
          <w:rFonts w:ascii="Cambria" w:hAnsi="Cambria" w:cs="Cambria"/>
          <w:color w:val="00B050"/>
          <w:sz w:val="32"/>
          <w:szCs w:val="32"/>
        </w:rPr>
        <w:t>č</w:t>
      </w:r>
      <w:r w:rsidRPr="00863D34">
        <w:rPr>
          <w:rFonts w:ascii="Bradley Hand ITC" w:hAnsi="Bradley Hand ITC"/>
          <w:color w:val="00B050"/>
          <w:sz w:val="32"/>
          <w:szCs w:val="32"/>
        </w:rPr>
        <w:t>no premikate roko in njej nasprotno nogo. Ali ob</w:t>
      </w:r>
      <w:r w:rsidRPr="00863D34">
        <w:rPr>
          <w:rFonts w:ascii="Cambria" w:hAnsi="Cambria" w:cs="Cambria"/>
          <w:color w:val="00B050"/>
          <w:sz w:val="32"/>
          <w:szCs w:val="32"/>
        </w:rPr>
        <w:t>č</w:t>
      </w:r>
      <w:r w:rsidRPr="00863D34">
        <w:rPr>
          <w:rFonts w:ascii="Bradley Hand ITC" w:hAnsi="Bradley Hand ITC"/>
          <w:color w:val="00B050"/>
          <w:sz w:val="32"/>
          <w:szCs w:val="32"/>
        </w:rPr>
        <w:t>utite kri</w:t>
      </w:r>
      <w:r w:rsidRPr="00863D34">
        <w:rPr>
          <w:rFonts w:ascii="Bradley Hand ITC" w:hAnsi="Bradley Hand ITC" w:cs="Bradley Hand ITC"/>
          <w:color w:val="00B050"/>
          <w:sz w:val="32"/>
          <w:szCs w:val="32"/>
        </w:rPr>
        <w:t>ž</w:t>
      </w:r>
      <w:r w:rsidRPr="00863D34">
        <w:rPr>
          <w:rFonts w:ascii="Bradley Hand ITC" w:hAnsi="Bradley Hand ITC"/>
          <w:color w:val="00B050"/>
          <w:sz w:val="32"/>
          <w:szCs w:val="32"/>
        </w:rPr>
        <w:t>no gibanje, ki izvira iz centra telesa, ko se ritmi</w:t>
      </w:r>
      <w:r w:rsidRPr="00863D34">
        <w:rPr>
          <w:rFonts w:ascii="Cambria" w:hAnsi="Cambria" w:cs="Cambria"/>
          <w:color w:val="00B050"/>
          <w:sz w:val="32"/>
          <w:szCs w:val="32"/>
        </w:rPr>
        <w:t>č</w:t>
      </w:r>
      <w:r w:rsidRPr="00863D34">
        <w:rPr>
          <w:rFonts w:ascii="Bradley Hand ITC" w:hAnsi="Bradley Hand ITC"/>
          <w:color w:val="00B050"/>
          <w:sz w:val="32"/>
          <w:szCs w:val="32"/>
        </w:rPr>
        <w:t xml:space="preserve">no dotikate z vsako roko ali komolcem nasprotnega kolena? </w:t>
      </w:r>
    </w:p>
    <w:p w:rsidR="00EB48DB" w:rsidRDefault="00EB48DB" w:rsidP="006F4DF3">
      <w:pPr>
        <w:ind w:left="360"/>
      </w:pPr>
    </w:p>
    <w:p w:rsidR="00EB48DB" w:rsidRDefault="00EB48DB" w:rsidP="00863D34"/>
    <w:p w:rsidR="00876202" w:rsidRPr="00863D34" w:rsidRDefault="00EC6B17" w:rsidP="00876202">
      <w:pPr>
        <w:pStyle w:val="Odstavekseznama"/>
        <w:numPr>
          <w:ilvl w:val="0"/>
          <w:numId w:val="1"/>
        </w:numPr>
        <w:rPr>
          <w:rFonts w:ascii="Bradley Hand ITC" w:hAnsi="Bradley Hand ITC"/>
          <w:color w:val="ED7D31" w:themeColor="accent2"/>
          <w:sz w:val="32"/>
          <w:szCs w:val="32"/>
        </w:rPr>
      </w:pPr>
      <w:r w:rsidRPr="00863D34">
        <w:rPr>
          <w:rFonts w:ascii="Bradley Hand ITC" w:hAnsi="Bradley Hand ITC"/>
          <w:noProof/>
          <w:color w:val="ED7D31" w:themeColor="accent2"/>
        </w:rPr>
        <w:lastRenderedPageBreak/>
        <w:drawing>
          <wp:anchor distT="0" distB="0" distL="114300" distR="114300" simplePos="0" relativeHeight="251661312" behindDoc="0" locked="0" layoutInCell="1" allowOverlap="1" wp14:anchorId="5ED01AA8">
            <wp:simplePos x="0" y="0"/>
            <wp:positionH relativeFrom="margin">
              <wp:posOffset>364490</wp:posOffset>
            </wp:positionH>
            <wp:positionV relativeFrom="paragraph">
              <wp:posOffset>65405</wp:posOffset>
            </wp:positionV>
            <wp:extent cx="1767840" cy="2649855"/>
            <wp:effectExtent l="0" t="0" r="3810" b="0"/>
            <wp:wrapThrough wrapText="bothSides">
              <wp:wrapPolygon edited="0">
                <wp:start x="0" y="0"/>
                <wp:lineTo x="0" y="21429"/>
                <wp:lineTo x="21414" y="21429"/>
                <wp:lineTo x="21414" y="0"/>
                <wp:lineTo x="0" y="0"/>
              </wp:wrapPolygon>
            </wp:wrapThrough>
            <wp:docPr id="10" name="Slika 10" descr="Printable Hook Ups Brain Gym Exercises - Images Nomor Siap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Hook Ups Brain Gym Exercises - Images Nomor Siapa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784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F3" w:rsidRPr="00863D34">
        <w:rPr>
          <w:rFonts w:ascii="Bradley Hand ITC" w:hAnsi="Bradley Hand ITC"/>
          <w:color w:val="ED7D31" w:themeColor="accent2"/>
          <w:sz w:val="32"/>
          <w:szCs w:val="32"/>
        </w:rPr>
        <w:t xml:space="preserve">ZANKE </w:t>
      </w:r>
    </w:p>
    <w:p w:rsidR="006F4DF3" w:rsidRPr="00863D34" w:rsidRDefault="006F4DF3" w:rsidP="00876202">
      <w:pPr>
        <w:pStyle w:val="Odstavekseznama"/>
        <w:rPr>
          <w:rFonts w:ascii="Bradley Hand ITC" w:hAnsi="Bradley Hand ITC"/>
          <w:color w:val="ED7D31" w:themeColor="accent2"/>
          <w:sz w:val="32"/>
          <w:szCs w:val="32"/>
        </w:rPr>
      </w:pPr>
      <w:r w:rsidRPr="00863D34">
        <w:rPr>
          <w:rFonts w:ascii="Bradley Hand ITC" w:hAnsi="Bradley Hand ITC"/>
          <w:color w:val="ED7D31" w:themeColor="accent2"/>
          <w:sz w:val="32"/>
          <w:szCs w:val="32"/>
        </w:rPr>
        <w:t>Prvi del: prekrižajte kolena, nato iztegnite roki predse in jih prekrižajte v zapestjih, dlani obrnite navznoter – eno dlan proti drugi in prepletite prste. Nato potegnite roke proti prsim. V tem položaju vztrajajte eno minuto ali ve</w:t>
      </w:r>
      <w:r w:rsidRPr="00863D34">
        <w:rPr>
          <w:rFonts w:ascii="Cambria" w:hAnsi="Cambria" w:cs="Cambria"/>
          <w:color w:val="ED7D31" w:themeColor="accent2"/>
          <w:sz w:val="32"/>
          <w:szCs w:val="32"/>
        </w:rPr>
        <w:t>č</w:t>
      </w:r>
      <w:r w:rsidRPr="00863D34">
        <w:rPr>
          <w:rFonts w:ascii="Bradley Hand ITC" w:hAnsi="Bradley Hand ITC"/>
          <w:color w:val="ED7D31" w:themeColor="accent2"/>
          <w:sz w:val="32"/>
          <w:szCs w:val="32"/>
        </w:rPr>
        <w:t>, dihanje naj bo po</w:t>
      </w:r>
      <w:r w:rsidRPr="00863D34">
        <w:rPr>
          <w:rFonts w:ascii="Cambria" w:hAnsi="Cambria" w:cs="Cambria"/>
          <w:color w:val="ED7D31" w:themeColor="accent2"/>
          <w:sz w:val="32"/>
          <w:szCs w:val="32"/>
        </w:rPr>
        <w:t>č</w:t>
      </w:r>
      <w:r w:rsidRPr="00863D34">
        <w:rPr>
          <w:rFonts w:ascii="Bradley Hand ITC" w:hAnsi="Bradley Hand ITC"/>
          <w:color w:val="ED7D31" w:themeColor="accent2"/>
          <w:sz w:val="32"/>
          <w:szCs w:val="32"/>
        </w:rPr>
        <w:t>asno, o</w:t>
      </w:r>
      <w:r w:rsidRPr="00863D34">
        <w:rPr>
          <w:rFonts w:ascii="Cambria" w:hAnsi="Cambria" w:cs="Cambria"/>
          <w:color w:val="ED7D31" w:themeColor="accent2"/>
          <w:sz w:val="32"/>
          <w:szCs w:val="32"/>
        </w:rPr>
        <w:t>č</w:t>
      </w:r>
      <w:r w:rsidRPr="00863D34">
        <w:rPr>
          <w:rFonts w:ascii="Bradley Hand ITC" w:hAnsi="Bradley Hand ITC"/>
          <w:color w:val="ED7D31" w:themeColor="accent2"/>
          <w:sz w:val="32"/>
          <w:szCs w:val="32"/>
        </w:rPr>
        <w:t>i imejte zaprte, ko vdihnete, se s konico jezika dotaknite neba. Drugi del: ko ste pripravljeni odkri</w:t>
      </w:r>
      <w:r w:rsidRPr="00863D34">
        <w:rPr>
          <w:rFonts w:ascii="Bradley Hand ITC" w:hAnsi="Bradley Hand ITC" w:cs="Bradley Hand ITC"/>
          <w:color w:val="ED7D31" w:themeColor="accent2"/>
          <w:sz w:val="32"/>
          <w:szCs w:val="32"/>
        </w:rPr>
        <w:t>ž</w:t>
      </w:r>
      <w:r w:rsidRPr="00863D34">
        <w:rPr>
          <w:rFonts w:ascii="Bradley Hand ITC" w:hAnsi="Bradley Hand ITC"/>
          <w:color w:val="ED7D31" w:themeColor="accent2"/>
          <w:sz w:val="32"/>
          <w:szCs w:val="32"/>
        </w:rPr>
        <w:t>ajte roke in noge. Stopala dajte na tla, s konicami prstov se narahlo dotaknite konic prstov druge roke v vi</w:t>
      </w:r>
      <w:r w:rsidRPr="00863D34">
        <w:rPr>
          <w:rFonts w:ascii="Bradley Hand ITC" w:hAnsi="Bradley Hand ITC" w:cs="Bradley Hand ITC"/>
          <w:color w:val="ED7D31" w:themeColor="accent2"/>
          <w:sz w:val="32"/>
          <w:szCs w:val="32"/>
        </w:rPr>
        <w:t>š</w:t>
      </w:r>
      <w:r w:rsidRPr="00863D34">
        <w:rPr>
          <w:rFonts w:ascii="Bradley Hand ITC" w:hAnsi="Bradley Hand ITC"/>
          <w:color w:val="ED7D31" w:themeColor="accent2"/>
          <w:sz w:val="32"/>
          <w:szCs w:val="32"/>
        </w:rPr>
        <w:t>ini prsi. V taki drži globoko dihajte še eno minuto.</w:t>
      </w:r>
      <w:r w:rsidR="00EC6B17" w:rsidRPr="00863D34">
        <w:rPr>
          <w:rFonts w:ascii="Bradley Hand ITC" w:hAnsi="Bradley Hand ITC"/>
          <w:color w:val="ED7D31" w:themeColor="accent2"/>
          <w:sz w:val="32"/>
          <w:szCs w:val="32"/>
        </w:rPr>
        <w:t xml:space="preserve"> </w:t>
      </w:r>
    </w:p>
    <w:sectPr w:rsidR="006F4DF3" w:rsidRPr="0086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47F0"/>
    <w:multiLevelType w:val="hybridMultilevel"/>
    <w:tmpl w:val="69A0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59"/>
    <w:rsid w:val="006F4DF3"/>
    <w:rsid w:val="00711D59"/>
    <w:rsid w:val="00863D34"/>
    <w:rsid w:val="00876202"/>
    <w:rsid w:val="00D458BE"/>
    <w:rsid w:val="00EB48DB"/>
    <w:rsid w:val="00EC6B17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245"/>
  <w15:chartTrackingRefBased/>
  <w15:docId w15:val="{DFD89E50-719E-4B3E-9C16-65B36D0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2022-01-28T07:49:00Z</dcterms:created>
  <dcterms:modified xsi:type="dcterms:W3CDTF">2022-01-28T08:56:00Z</dcterms:modified>
</cp:coreProperties>
</file>